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tribunal-judicial-da-comarca-de-lisboa"/>
    <w:p>
      <w:pPr>
        <w:pStyle w:val="Heading2"/>
      </w:pPr>
      <w:r>
        <w:t xml:space="preserve">Tribunal Judicial da Comarca de Lisboa</w:t>
      </w:r>
    </w:p>
    <w:p>
      <w:pPr>
        <w:pStyle w:val="FirstParagraph"/>
      </w:pPr>
      <w:r>
        <w:rPr>
          <w:b/>
          <w:bCs/>
        </w:rPr>
        <w:t xml:space="preserve">Processo n.º 1234/24.5T8LSB</w:t>
      </w:r>
      <w:r>
        <w:t xml:space="preserve"> </w:t>
      </w:r>
      <w:r>
        <w:t xml:space="preserve">– Processo Especial de Despejo – Arrendamento Comercial</w:t>
      </w:r>
    </w:p>
    <w:bookmarkStart w:id="9" w:name="réplica-à-contestação"/>
    <w:p>
      <w:pPr>
        <w:pStyle w:val="Heading3"/>
      </w:pPr>
      <w:r>
        <w:t xml:space="preserve">Réplica à Contestação</w:t>
      </w:r>
    </w:p>
    <w:p>
      <w:pPr>
        <w:pStyle w:val="FirstParagraph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Empresa de Arrendamento Comercial, Lda., pessoa coletiva nº 504 321 987, com sede na Av. da Liberdade, n.º 250, 1250‑147 Lisboa.</w:t>
      </w:r>
      <w:r>
        <w:br/>
      </w:r>
      <w:r>
        <w:rPr>
          <w:b/>
          <w:bCs/>
        </w:rPr>
        <w:t xml:space="preserve">Réu / Requerido:</w:t>
      </w:r>
      <w:r>
        <w:t xml:space="preserve"> </w:t>
      </w:r>
      <w:r>
        <w:t xml:space="preserve">Sr. João da Silva, pessoa singular nº 212 345 678, residente na Rua da Boavista, n.º 45, 3.º Esq., 1200‑066 Lisboa.</w:t>
      </w:r>
    </w:p>
    <w:p>
      <w:pPr>
        <w:pStyle w:val="BodyText"/>
      </w:pPr>
      <w:r>
        <w:rPr>
          <w:b/>
          <w:bCs/>
        </w:rPr>
        <w:t xml:space="preserve">Mandatários do Autor:</w:t>
      </w:r>
      <w:r>
        <w:t xml:space="preserve"> </w:t>
      </w:r>
      <w:r>
        <w:t xml:space="preserve">Dr.ª Ana Martins (OAB Lisboa 12345) e Dr. Luís Pereira (OAB Lisboa 67890), com escritório na Rua das Flores, n.º 12, 2.º Esq., 1150‑058 Lisboa.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Cível de Lisboa.</w:t>
      </w:r>
    </w:p>
    <w:p>
      <w:pPr>
        <w:pStyle w:val="BodyText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End w:id="9"/>
    <w:bookmarkStart w:id="10" w:name="i-síntese-dos-factos-relevantes"/>
    <w:p>
      <w:pPr>
        <w:pStyle w:val="Heading3"/>
      </w:pPr>
      <w:r>
        <w:t xml:space="preserve">I – SÍNTESE DOS FACTOS RELEVANTES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Celebração do Contrato de Arrendamento Comercial</w:t>
      </w:r>
      <w:r>
        <w:t xml:space="preserve"> </w:t>
      </w:r>
      <w:r>
        <w:t xml:space="preserve">– Em 10 de janeiro de 2021, as partes firmaram contrato de arrendamento comercial, com vigência de cinco (5) anos, para o estabelecimento localizado no imóvel sito na Rua da Indústria, n.º 78, 3.º Dtº, 1900‑123 Lisboa, com prazo de duração até 9 de janeiro de 2026.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Valor da Renda</w:t>
      </w:r>
      <w:r>
        <w:t xml:space="preserve"> </w:t>
      </w:r>
      <w:r>
        <w:t xml:space="preserve">– O arrendatário obrigou‑se a pagar a quantia mensal de</w:t>
      </w:r>
      <w:r>
        <w:t xml:space="preserve"> </w:t>
      </w:r>
      <w:r>
        <w:rPr>
          <w:b/>
          <w:bCs/>
        </w:rPr>
        <w:t xml:space="preserve">€ 2 500,00</w:t>
      </w:r>
      <w:r>
        <w:t xml:space="preserve"> </w:t>
      </w:r>
      <w:r>
        <w:t xml:space="preserve">(dois mil e quinhentos euros), com vencimento até ao dia 5 de cada mês, mediante depósito bancário na conta da empresa arrendadora (IBAN PT50 0000 0000 1234 5678 9015 2).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Incumprimento de Pagamento</w:t>
      </w:r>
      <w:r>
        <w:t xml:space="preserve"> </w:t>
      </w:r>
      <w:r>
        <w:t xml:space="preserve">– O réu deixou de pagar as rendas referentes aos meses de agosto a março de 2024, totalizando oito (8) meses em dívida, perfazendo o montante de</w:t>
      </w:r>
      <w:r>
        <w:t xml:space="preserve"> </w:t>
      </w:r>
      <w:r>
        <w:rPr>
          <w:b/>
          <w:bCs/>
        </w:rPr>
        <w:t xml:space="preserve">€ 20 000,00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Obras Não Autorizadas</w:t>
      </w:r>
      <w:r>
        <w:t xml:space="preserve"> </w:t>
      </w:r>
      <w:r>
        <w:t xml:space="preserve">– Entre outubro e dezembro de 2023, o réu realizou obras de remodelação interior sem prévia autorização escrita da senhoria, causando danos nas paredes e nas instalações elétricas, cujo custo de reparação foi orçado em</w:t>
      </w:r>
      <w:r>
        <w:t xml:space="preserve"> </w:t>
      </w:r>
      <w:r>
        <w:rPr>
          <w:b/>
          <w:bCs/>
        </w:rPr>
        <w:t xml:space="preserve">€ 7 500,00</w:t>
      </w:r>
      <w:r>
        <w:t xml:space="preserve"> </w:t>
      </w:r>
      <w:r>
        <w:t xml:space="preserve">(sete mil e quinhentos euros).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Notificações</w:t>
      </w:r>
      <w:r>
        <w:t xml:space="preserve"> </w:t>
      </w:r>
      <w:r>
        <w:t xml:space="preserve">– Foram enviadas duas notificações extrajudiciais (datadas de 12 de fevereiro de 2024 e 5 de março de 2024) a requerer o pagamento das rendas em atraso, a cessação das obras não autorizadas e a regularização da situação, sem que o réu tenha dado qualquer resposta.</w:t>
      </w:r>
    </w:p>
    <w:p>
      <w:pPr>
        <w:pStyle w:val="FirstParagraph"/>
      </w:pPr>
      <w:r>
        <w:t xml:space="preserve">Em razão dos factos acima, o autor interpôs a presente ação especial de despejo, requerendo a caducidade do contrato, a desocupação do imóvel, o pagamento das rendas vencidas, juros moratórios, e a indemnização pelos danos causados.</w:t>
      </w:r>
    </w:p>
    <w:p>
      <w:r>
        <w:pict>
          <v:rect style="width:0;height:1.5pt" o:hralign="center" o:hrstd="t" o:hr="t"/>
        </w:pict>
      </w:r>
    </w:p>
    <w:bookmarkEnd w:id="10"/>
    <w:bookmarkStart w:id="14" w:name="X80568fe253b0a4ab3c08a3ea475589db4b04ae1"/>
    <w:p>
      <w:pPr>
        <w:pStyle w:val="Heading3"/>
      </w:pPr>
      <w:r>
        <w:t xml:space="preserve">II – DA CONTESTAÇÃO DO RÉU E DA SUA INEXEQUIBILIDADE</w:t>
      </w:r>
    </w:p>
    <w:p>
      <w:pPr>
        <w:pStyle w:val="FirstParagraph"/>
      </w:pPr>
      <w:r>
        <w:t xml:space="preserve">O réu, na sua contestação, alega: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Inexistência de mora</w:t>
      </w:r>
      <w:r>
        <w:t xml:space="preserve">, sustentando que os atrasos decorreram de “dificuldades temporárias” e que já efetuou pagamento parcial de € 5 000,00.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Ausência de caducidade</w:t>
      </w:r>
      <w:r>
        <w:t xml:space="preserve">, argumentando que o contrato não prevê cláusula de caducidade automática e que a lei exige prévia notificação judicial.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Legitimidade das obras</w:t>
      </w:r>
      <w:r>
        <w:t xml:space="preserve">, alegando que foram necessárias para adaptar o espaço ao novo ramo de atividade e que foram realizadas em regime de “necessidade urgente”.</w:t>
      </w:r>
    </w:p>
    <w:bookmarkStart w:id="11" w:name="da-inexistência-de-pagamento-parcial"/>
    <w:p>
      <w:pPr>
        <w:pStyle w:val="Heading4"/>
      </w:pPr>
      <w:r>
        <w:t xml:space="preserve">2.1 – Da Inexistência de Pagamento Parcial</w:t>
      </w:r>
    </w:p>
    <w:p>
      <w:pPr>
        <w:pStyle w:val="FirstParagraph"/>
      </w:pPr>
      <w:r>
        <w:t xml:space="preserve">A alegação de pagamento parcial é totalmente infundada. O extrato bancário da conta da empresa arrendadora demonstra que, entre 12 de fevereiro e 5 de março de 2024, não houve qualquer crédito proveniente do réu. Não há, portanto, prova documental que sustente a existência de € 5 000,00 pagos. A simples menção do réu a um “pagamento parcial” carece de comprovação escrita ou bancária, o que a torna inadmissível nos termos do art.º 562.º, n.º 2, do Código de Processo Civil (CPC).</w:t>
      </w:r>
    </w:p>
    <w:bookmarkEnd w:id="11"/>
    <w:bookmarkStart w:id="12" w:name="da-caducidade-do-contrato"/>
    <w:p>
      <w:pPr>
        <w:pStyle w:val="Heading4"/>
      </w:pPr>
      <w:r>
        <w:t xml:space="preserve">2.2 – Da Caducidade do Contrato</w:t>
      </w:r>
    </w:p>
    <w:p>
      <w:pPr>
        <w:pStyle w:val="FirstParagraph"/>
      </w:pPr>
      <w:r>
        <w:t xml:space="preserve">O Código Civil, nos seus artigos 1070.º e 1071.º, estabelece que a falta de pagamento de duas rendas consecutivas faculta ao senhorio a resolução do contrato, sem necessidade de prévia ação judicial, bastando a notificação extrajudicial. No presente caso, a mora perdura há oito (8) meses, ultrapassando, pois, em muito, o limiar legal. A contestação do réu, ao invocar a ausência de cláusula expressa de caducidade, ignora a aplicação automática do regime legal supracitado.</w:t>
      </w:r>
    </w:p>
    <w:p>
      <w:pPr>
        <w:pStyle w:val="BodyText"/>
      </w:pPr>
      <w:r>
        <w:t xml:space="preserve">Ademais, o art.º 1045.º, n.º 1, alínea b), do Código Civil, prevê a caducidade do contrato de arrendamento comercial quando o arrendatário deixa de pagar a renda por mais de três (3) meses consecutivos, independentemente de cláusula contratual. Assim, a pretensão do réu carece de fundamento jurídico.</w:t>
      </w:r>
    </w:p>
    <w:bookmarkEnd w:id="12"/>
    <w:bookmarkStart w:id="13" w:name="da-ilegitimidade-das-obras"/>
    <w:p>
      <w:pPr>
        <w:pStyle w:val="Heading4"/>
      </w:pPr>
      <w:r>
        <w:t xml:space="preserve">2.3 – Da Ilegitimidade das Obras</w:t>
      </w:r>
    </w:p>
    <w:p>
      <w:pPr>
        <w:pStyle w:val="FirstParagraph"/>
      </w:pPr>
      <w:r>
        <w:t xml:space="preserve">A realização de obras sem autorização escrita constitui violação das obrigações contratuais (art.º 1079.º, CC). O réu não apresentou nenhum documento que comprove a existência de “necessidade urgente” nem a autorização prévia do senhorio, conforme exigido pelo art.º 1083.º, CC. A simples alegação de necessidade de adaptação não exime o arrendatário da obrigação de obter consentimento prévio, sob pena de responsabilização pelos prejuízos causados.</w:t>
      </w:r>
    </w:p>
    <w:p>
      <w:pPr>
        <w:pStyle w:val="BodyText"/>
      </w:pPr>
      <w:r>
        <w:t xml:space="preserve">A perícia realizada pela empresa</w:t>
      </w:r>
      <w:r>
        <w:t xml:space="preserve"> </w:t>
      </w:r>
      <w:r>
        <w:rPr>
          <w:b/>
          <w:bCs/>
        </w:rPr>
        <w:t xml:space="preserve">Peritora Nacional, Lda.</w:t>
      </w:r>
      <w:r>
        <w:t xml:space="preserve">, com relatório datado de 1 de março de 2024 (anexo), concluiu que as obras provocaram danos estruturais que exigem reparação integral ao custo indicado ( € 7 500,00). Não há, portanto, fundamento para a defesa do réu.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iii-do-direito"/>
    <w:p>
      <w:pPr>
        <w:pStyle w:val="Heading3"/>
      </w:pPr>
      <w:r>
        <w:t xml:space="preserve">III – DO DIREITO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Caducidade e Resolução do Contrato</w:t>
      </w:r>
      <w:r>
        <w:t xml:space="preserve"> </w:t>
      </w:r>
      <w:r>
        <w:t xml:space="preserve">– Nos termos do art.º 1070.º, n.º 1, CC, a mora superior a duas rendas consecutivas autoriza a resolução do contrato, devendo o senhorio notificar o arrendatário, o que foi cumprido.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Despejo</w:t>
      </w:r>
      <w:r>
        <w:t xml:space="preserve"> </w:t>
      </w:r>
      <w:r>
        <w:t xml:space="preserve">– O art.º 1078.º, n.º 1, CC, permite ao senhorio requerer a desocupação do imóvel quando o contrato está caducado. A jurisprudência do Supremo Tribunal de Justiça (Acórdão 123/23.2T8LSB, de 10 de janeiro de 2023) confirma a possibilidade de despejo imediato em situações de mora prolongada.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Juros Moratórios</w:t>
      </w:r>
      <w:r>
        <w:t xml:space="preserve"> </w:t>
      </w:r>
      <w:r>
        <w:t xml:space="preserve">– Conforme o art.º 408.º do Código Civil, os juros de mora incidem à taxa legal (8 % ao ano) a partir da data de vencimento da obrigação, devendo ser calculados até ao efetivo pagamento.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Indemnização por Danos</w:t>
      </w:r>
      <w:r>
        <w:t xml:space="preserve"> </w:t>
      </w:r>
      <w:r>
        <w:t xml:space="preserve">– O art.º 483.º, CC, impõe ao arrendatário a obrigação de reparar os danos causados ao bem arrendado, bem como de indemnizar o senhorio pelos prejuízos.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Custas e Despesas Processuais</w:t>
      </w:r>
      <w:r>
        <w:t xml:space="preserve"> </w:t>
      </w:r>
      <w:r>
        <w:t xml:space="preserve">– Nos termos do art.º 84.º, n.º 2, do CPC, as custas processuais são suportadas pela parte vencida.</w:t>
      </w:r>
    </w:p>
    <w:p>
      <w:r>
        <w:pict>
          <v:rect style="width:0;height:1.5pt" o:hralign="center" o:hrstd="t" o:hr="t"/>
        </w:pict>
      </w:r>
    </w:p>
    <w:bookmarkEnd w:id="15"/>
    <w:bookmarkStart w:id="16" w:name="iv-dos-pedidos"/>
    <w:p>
      <w:pPr>
        <w:pStyle w:val="Heading3"/>
      </w:pPr>
      <w:r>
        <w:t xml:space="preserve">IV – DOS PEDIDOS</w:t>
      </w:r>
    </w:p>
    <w:p>
      <w:pPr>
        <w:pStyle w:val="FirstParagraph"/>
      </w:pPr>
      <w:r>
        <w:t xml:space="preserve">Face ao exposto, o Autor requer a V. Exa. que se digne 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224"/>
        <w:gridCol w:w="369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Valor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 Declaração de caducidade do contrato de arrendamento comercial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 Ordem de despejo e desocupação do imóvel sito na Rua da Indústria, n.º 78, Lisboa, no prazo de 30 (trinta) dias a contar da notificação judicial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 Condenação do réu ao pagamento das rendas em dívida (8 meses)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€ 20 000,00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 Juros moratórios à taxa legal (8 % a.a.) calculados até ao pagamento integral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€ 1 280,00</w:t>
            </w:r>
            <w:r>
              <w:t xml:space="preserve"> </w:t>
            </w:r>
            <w:r>
              <w:t xml:space="preserve">(valor estimado)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 Indemnização pelos danos causados pelas obras não autorizadas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€ 7 500,00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6. Honorários de advogado e despesas processuais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€ 2 000,00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€ 30 780,00</w:t>
            </w:r>
          </w:p>
        </w:tc>
      </w:tr>
    </w:tbl>
    <w:p>
      <w:pPr>
        <w:pStyle w:val="BodyText"/>
      </w:pPr>
      <w:r>
        <w:rPr>
          <w:b/>
          <w:bCs/>
        </w:rPr>
        <w:t xml:space="preserve">Requer, ainda:</w:t>
      </w:r>
    </w:p>
    <w:p>
      <w:pPr>
        <w:numPr>
          <w:ilvl w:val="0"/>
          <w:numId w:val="1004"/>
        </w:numPr>
      </w:pPr>
      <w:r>
        <w:t xml:space="preserve">A citação do réu, nos termos do art.º 256.º do CPC, para que, caso queira, apresente contestação no prazo legal;</w:t>
      </w:r>
    </w:p>
    <w:p>
      <w:pPr>
        <w:numPr>
          <w:ilvl w:val="0"/>
          <w:numId w:val="1004"/>
        </w:numPr>
      </w:pPr>
      <w:r>
        <w:t xml:space="preserve">A produção de prova documental (notificações, extratos bancários, relatório pericial) e, caso necessário, a oitiva de testemunhas;</w:t>
      </w:r>
    </w:p>
    <w:p>
      <w:pPr>
        <w:numPr>
          <w:ilvl w:val="0"/>
          <w:numId w:val="1004"/>
        </w:numPr>
      </w:pPr>
      <w:r>
        <w:t xml:space="preserve">A condenação do réu ao pagamento das custas e despesas processuais.</w:t>
      </w:r>
    </w:p>
    <w:p>
      <w:pPr>
        <w:pStyle w:val="FirstParagraph"/>
      </w:pPr>
      <w:r>
        <w:t xml:space="preserve">Nestes termos, pede deferimento.</w:t>
      </w:r>
    </w:p>
    <w:p>
      <w:pPr>
        <w:pStyle w:val="BodyText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Pela Autor: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Dr.ª Ana Martins – OAB Lisboa 12345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Dr. Luís Pereira – OAB Lisboa 67890</w:t>
      </w:r>
    </w:p>
    <w:p>
      <w:pPr>
        <w:pStyle w:val="BodyText"/>
      </w:pPr>
      <w:r>
        <w:rPr>
          <w:i/>
          <w:iCs/>
        </w:rPr>
        <w:t xml:space="preserve">Advogados da Empresa de Arrendamento Comercial, Lda.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